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A6AB" w14:textId="570FC0BD" w:rsidR="002464CB" w:rsidRPr="004A5E96" w:rsidRDefault="005616A2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REPORTE </w:t>
      </w:r>
      <w:r w:rsidR="00A258BE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- 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"IMPACTO DA COVID 19 NOS SISTEMAS PREVENTIVOS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LD/FT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DOS PAÍSES DA REGIÃO"</w:t>
      </w:r>
    </w:p>
    <w:p w14:paraId="0686C1F2" w14:textId="77777777" w:rsidR="005616A2" w:rsidRPr="004A5E96" w:rsidRDefault="005616A2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</w:p>
    <w:p w14:paraId="70A1C75C" w14:textId="24253F45" w:rsidR="002464CB" w:rsidRPr="004A5E96" w:rsidRDefault="005616A2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No 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exercício da Presidência Pro Tempore do Paraguai (PPTP), em maio de 2020, 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>a Comissão de Prevenção à Lavagem de Dinheiro e ao Financiamento do Terrorismo (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>CPLDFT</w:t>
      </w:r>
      <w:r w:rsidR="00A258BE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) 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>realizou pela primeira vez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>sua reunião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por meio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de videoconferência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em virtude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das medidas de isolamento que os diferentes países adota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ram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para enfrentar a pandemia COVID 19</w:t>
      </w:r>
      <w:r w:rsidR="00013E0D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(assim como as demais comissões do Subgrupo Mercosul Financeiro)</w:t>
      </w:r>
      <w:r w:rsidR="002464CB" w:rsidRPr="004A5E96">
        <w:rPr>
          <w:rFonts w:asciiTheme="minorHAnsi" w:eastAsia="Times New Roman" w:hAnsiTheme="minorHAnsi" w:cstheme="minorHAnsi"/>
          <w:sz w:val="22"/>
          <w:lang w:val="pt-PT" w:eastAsia="pt-BR"/>
        </w:rPr>
        <w:t>.</w:t>
      </w:r>
    </w:p>
    <w:p w14:paraId="460E5E94" w14:textId="77777777" w:rsidR="005616A2" w:rsidRPr="004A5E96" w:rsidRDefault="005616A2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</w:p>
    <w:p w14:paraId="0969FB14" w14:textId="7C2D613F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A partir da referida reunião, 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>a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CPLDFT decidiu realizar um acompanhamento detalhado do impacto que a nova situação impôs aos sistemas de prevenção à lavagem de dinheiro e ao financiamento do terrorismo dos Estados Partes, procurando destacar vários aspectos rel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>acionados, como por exemplo</w:t>
      </w:r>
      <w:r w:rsidR="00DE517D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: 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>o impacto da pandemia n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os sistemas de supervisão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e nos riscos 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>de PLD/FT;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novas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vulnerabilidades que os países da região 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passaram a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enfrent</w:t>
      </w:r>
      <w:r w:rsidR="008C50DA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ar;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e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potenciais impactos nos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sistema de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comunicação de operações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suspeitas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. </w:t>
      </w:r>
    </w:p>
    <w:p w14:paraId="7B6E1E5E" w14:textId="77777777" w:rsidR="00DE517D" w:rsidRPr="004A5E96" w:rsidRDefault="00DE517D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</w:p>
    <w:p w14:paraId="41D1DC0C" w14:textId="3F02B79D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Embora</w:t>
      </w:r>
      <w:r w:rsidR="00363591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>a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pandemia do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COVID</w:t>
      </w:r>
      <w:r w:rsidR="00363591" w:rsidRPr="004A5E96">
        <w:rPr>
          <w:rFonts w:asciiTheme="minorHAnsi" w:eastAsia="Times New Roman" w:hAnsiTheme="minorHAnsi" w:cstheme="minorHAnsi"/>
          <w:sz w:val="22"/>
          <w:lang w:val="pt-PT" w:eastAsia="pt-BR"/>
        </w:rPr>
        <w:t>-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19 tenha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impactado todos os Estados Parte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ao longo deste ano e meio, à medida que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os supervisores financeiros responsáveis pela prevenção à LD/FT </w:t>
      </w:r>
      <w:r w:rsidR="00DE517D" w:rsidRPr="004A5E96">
        <w:rPr>
          <w:rFonts w:asciiTheme="minorHAnsi" w:eastAsia="Times New Roman" w:hAnsiTheme="minorHAnsi" w:cstheme="minorHAnsi"/>
          <w:sz w:val="22"/>
          <w:lang w:val="pt-PT" w:eastAsia="pt-BR"/>
        </w:rPr>
        <w:t>se adaptaram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às novas modalidades de trabalho e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>a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emergência sanitária ganh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>ou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flexibilidade, os sistemas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de </w:t>
      </w:r>
      <w:r w:rsidR="00DE517D" w:rsidRPr="004A5E96">
        <w:rPr>
          <w:rFonts w:asciiTheme="minorHAnsi" w:eastAsia="Times New Roman" w:hAnsiTheme="minorHAnsi" w:cstheme="minorHAnsi"/>
          <w:sz w:val="22"/>
          <w:lang w:val="pt-PT" w:eastAsia="pt-BR"/>
        </w:rPr>
        <w:t>PLD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/FT da região em geral normalizaram-se</w:t>
      </w:r>
      <w:r w:rsidR="00DE517D" w:rsidRPr="004A5E96">
        <w:rPr>
          <w:rFonts w:asciiTheme="minorHAnsi" w:eastAsia="Times New Roman" w:hAnsiTheme="minorHAnsi" w:cstheme="minorHAnsi"/>
          <w:sz w:val="22"/>
          <w:lang w:val="pt-PT" w:eastAsia="pt-BR"/>
        </w:rPr>
        <w:t>.</w:t>
      </w:r>
    </w:p>
    <w:p w14:paraId="2AF39187" w14:textId="77777777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</w:p>
    <w:p w14:paraId="5D22A15D" w14:textId="77777777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b/>
          <w:bCs/>
          <w:sz w:val="22"/>
          <w:lang w:val="pt-PT" w:eastAsia="pt-BR"/>
        </w:rPr>
      </w:pPr>
      <w:r w:rsidRPr="004A5E96">
        <w:rPr>
          <w:rFonts w:asciiTheme="minorHAnsi" w:eastAsia="Times New Roman" w:hAnsiTheme="minorHAnsi" w:cstheme="minorHAnsi"/>
          <w:b/>
          <w:bCs/>
          <w:sz w:val="22"/>
          <w:lang w:val="pt-PT" w:eastAsia="pt-BR"/>
        </w:rPr>
        <w:t>1. Desempenho operacional</w:t>
      </w:r>
    </w:p>
    <w:p w14:paraId="6B64E5D0" w14:textId="77777777" w:rsidR="00DE517D" w:rsidRPr="004A5E96" w:rsidRDefault="00DE517D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</w:p>
    <w:p w14:paraId="149544E7" w14:textId="3AB1C011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Todos os 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>supervisores financeiros do</w:t>
      </w:r>
      <w:r w:rsidR="00013E0D" w:rsidRPr="004A5E96">
        <w:rPr>
          <w:rFonts w:asciiTheme="minorHAnsi" w:eastAsia="Times New Roman" w:hAnsiTheme="minorHAnsi" w:cstheme="minorHAnsi"/>
          <w:sz w:val="22"/>
          <w:lang w:val="pt-PT" w:eastAsia="pt-BR"/>
        </w:rPr>
        <w:t>s</w:t>
      </w:r>
      <w:r w:rsidR="00F65133"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países 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>da região adotaram medidas restritivas quanto à modalidade de trabalho, estabelecendo um regime de trabalho à distância</w:t>
      </w:r>
      <w:r w:rsidR="00A258BE" w:rsidRPr="004A5E96">
        <w:rPr>
          <w:rFonts w:asciiTheme="minorHAnsi" w:eastAsia="Times New Roman" w:hAnsiTheme="minorHAnsi" w:cstheme="minorHAnsi"/>
          <w:sz w:val="22"/>
          <w:lang w:val="pt-PT" w:eastAsia="pt-BR"/>
        </w:rPr>
        <w:t>,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A258BE" w:rsidRPr="004A5E96">
        <w:rPr>
          <w:rFonts w:asciiTheme="minorHAnsi" w:eastAsia="Times New Roman" w:hAnsiTheme="minorHAnsi" w:cstheme="minorHAnsi"/>
          <w:sz w:val="22"/>
          <w:lang w:val="pt-PT" w:eastAsia="pt-BR"/>
        </w:rPr>
        <w:t>porém foi possível continuar su</w:t>
      </w:r>
      <w:r w:rsidRPr="004A5E96">
        <w:rPr>
          <w:rFonts w:asciiTheme="minorHAnsi" w:eastAsia="Times New Roman" w:hAnsiTheme="minorHAnsi" w:cstheme="minorHAnsi"/>
          <w:sz w:val="22"/>
          <w:lang w:val="pt-PT" w:eastAsia="pt-BR"/>
        </w:rPr>
        <w:t xml:space="preserve">as atividades sem grandes </w:t>
      </w:r>
      <w:r w:rsidR="00C77C3D" w:rsidRPr="004A5E96">
        <w:rPr>
          <w:rFonts w:asciiTheme="minorHAnsi" w:eastAsia="Times New Roman" w:hAnsiTheme="minorHAnsi" w:cstheme="minorHAnsi"/>
          <w:sz w:val="22"/>
          <w:lang w:val="pt-PT" w:eastAsia="pt-BR"/>
        </w:rPr>
        <w:t>impactos negativos.</w:t>
      </w:r>
    </w:p>
    <w:p w14:paraId="6CF769DA" w14:textId="6AA4B832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val="pt-PT" w:eastAsia="pt-BR"/>
        </w:rPr>
      </w:pPr>
    </w:p>
    <w:p w14:paraId="3B4D95B0" w14:textId="18D15640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  <w:t>2. Sistema de supervisão</w:t>
      </w:r>
    </w:p>
    <w:p w14:paraId="31E693AB" w14:textId="77777777" w:rsidR="00DE517D" w:rsidRPr="004A5E96" w:rsidRDefault="00DE517D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</w:pPr>
    </w:p>
    <w:p w14:paraId="2A7449D8" w14:textId="357A0B1E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Todos os países da região adotaram medidas para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realiza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ção das atividades de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supervisão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de forma </w:t>
      </w:r>
      <w:r w:rsidR="0036359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remota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em substituição à presencial, cumprindo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em maior ou menor medida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os objetivos e planos traçados. Como </w:t>
      </w:r>
      <w:r w:rsidR="0036359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consequência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dessa experiência, a supervisão híbrida já é uma realidade que </w:t>
      </w:r>
      <w:r w:rsidR="0036359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deverá perdurar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na região, embor</w:t>
      </w:r>
      <w:r w:rsidR="0036359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 seja importante destacar que em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alguns casos particulares</w:t>
      </w:r>
      <w:r w:rsidR="0036359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est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 já</w:t>
      </w:r>
      <w:r w:rsidR="0036359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estava estabelecida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antes da pandemia.</w:t>
      </w:r>
    </w:p>
    <w:p w14:paraId="3FB59CF3" w14:textId="77777777" w:rsidR="00DE517D" w:rsidRPr="004A5E96" w:rsidRDefault="00DE517D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4A41B331" w14:textId="1A1CFE68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Graças a</w:t>
      </w:r>
      <w:r w:rsidR="00DC79B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adoção de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uma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metodologia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de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supervisão remota desde 2014,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a capacidade de supervisão do Banco Central do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Brasil não </w:t>
      </w:r>
      <w:r w:rsidR="0036359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sofreu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grandes impactos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em função da pandemia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COVID, ajustando-se</w:t>
      </w:r>
      <w:r w:rsidR="00013E0D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à nova realidade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em tempo hábil. </w:t>
      </w:r>
      <w:r w:rsidR="00DC79B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Não houve atrasos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significativos 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processo de </w:t>
      </w:r>
      <w:r w:rsidR="00DC79B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supervisão de PLD/FT em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todo o universo bancário e</w:t>
      </w:r>
      <w:r w:rsidR="00DE517D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não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bancário supervisionado Além disso, </w:t>
      </w:r>
      <w:r w:rsidR="00DE517D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não houve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necessidade de prorroga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ção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d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o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s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prazo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s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acordados para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apresentação da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s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informaç</w:t>
      </w:r>
      <w:r w:rsidR="00DC79B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ões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pelas entidades supervisionadas</w:t>
      </w:r>
      <w:r w:rsidR="003F5DF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ou para resolução de apontamentos decorrenres das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fiscalizações realizadas nos últimos anos.</w:t>
      </w:r>
    </w:p>
    <w:p w14:paraId="4A8A784B" w14:textId="77777777" w:rsidR="00DE517D" w:rsidRPr="004A5E96" w:rsidRDefault="00DE517D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558442D4" w14:textId="54D2798A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Paraguai, após a interrupção da supervisão presencial, houve um retorno gradativo das visitas in loco, com a implantação de </w:t>
      </w:r>
      <w:r w:rsidR="00A258B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equipes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para evitar aglomerações e manter cuidados preventivos de saúde. Atualmente, mantém-se uma modalidade combinada entre teletrabalho e visitas presenciais e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de acordo com os casos confirmados ou suspeitos que surjam, tanto no supervisor como nos supervisionados, define-se o curso de atuação nas supervisões.</w:t>
      </w:r>
    </w:p>
    <w:p w14:paraId="5D8735B6" w14:textId="77777777" w:rsidR="006535A6" w:rsidRPr="004A5E96" w:rsidRDefault="006535A6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4E04ABA9" w14:textId="1996FB8E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Na Argentina, as fiscalizações presenciais foram substituídas por fiscalizações 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remotas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no início da pandemia, estabelecendo-se um sistema de supervisão remota voltado para a revisão de clientes/operações que possam representar riscos nos sistemas PL</w:t>
      </w:r>
      <w:r w:rsidR="006535A6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D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/FT implantados nas diferentes entidades. Apesar das restrições, os planos de supervisão foram concluídos e</w:t>
      </w:r>
      <w:r w:rsidR="006535A6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ainda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lastRenderedPageBreak/>
        <w:t>em 2021</w:t>
      </w:r>
      <w:r w:rsidR="006535A6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foi </w:t>
      </w:r>
      <w:r w:rsidR="0050302F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alcançado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um universo de sujeitos obrigados supervisionados 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maior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do que em 2019.</w:t>
      </w:r>
    </w:p>
    <w:p w14:paraId="46653B53" w14:textId="77777777" w:rsidR="006535A6" w:rsidRPr="004A5E96" w:rsidRDefault="006535A6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243A5AC6" w14:textId="550B1F6F" w:rsidR="002464CB" w:rsidRPr="004A5E96" w:rsidRDefault="002464CB" w:rsidP="005616A2">
      <w:pPr>
        <w:pStyle w:val="Pr-formataoHTML"/>
        <w:shd w:val="clear" w:color="auto" w:fill="F8F9FA"/>
        <w:jc w:val="both"/>
        <w:rPr>
          <w:rFonts w:asciiTheme="minorHAnsi" w:hAnsiTheme="minorHAnsi" w:cstheme="minorHAnsi"/>
          <w:sz w:val="22"/>
          <w:szCs w:val="22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Por fim, no caso do Uruguai, como nos demais países, foram adotados mecanismos de supervisão remota na primeira fase da pandemia, retomando gradativamente as ações </w:t>
      </w:r>
      <w:r w:rsidRPr="004A5E96">
        <w:rPr>
          <w:rStyle w:val="y2iqfc"/>
          <w:rFonts w:asciiTheme="minorHAnsi" w:hAnsiTheme="minorHAnsi" w:cstheme="minorHAnsi"/>
          <w:i/>
          <w:iCs/>
          <w:sz w:val="22"/>
          <w:szCs w:val="22"/>
          <w:lang w:val="pt-PT"/>
        </w:rPr>
        <w:t>in situ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na medida permitida pela situação de saúde, tendo 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sido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cumprido o planejamento das atividades de supervisão.</w:t>
      </w:r>
    </w:p>
    <w:p w14:paraId="4C3B3480" w14:textId="3C28602F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eastAsia="pt-BR"/>
        </w:rPr>
      </w:pPr>
    </w:p>
    <w:p w14:paraId="2F2C3786" w14:textId="4D58A940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3. Riscos e novos crimes. Impacto nas </w:t>
      </w:r>
      <w:r w:rsidR="00E33668" w:rsidRPr="004A5E96"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  <w:t>transações econômicas</w:t>
      </w:r>
      <w:r w:rsidR="00E33668" w:rsidRPr="004A5E96" w:rsidDel="00E33668"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</w:t>
      </w:r>
      <w:r w:rsidR="00E33668" w:rsidRPr="004A5E96"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  <w:t>e tipologias de LD/FT</w:t>
      </w:r>
      <w:r w:rsidRPr="004A5E96"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 </w:t>
      </w:r>
    </w:p>
    <w:p w14:paraId="16C39D08" w14:textId="77777777" w:rsidR="003F5DF8" w:rsidRPr="004A5E96" w:rsidRDefault="003F5DF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4E5ADC38" w14:textId="0CC0E925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Em linha com os alertas </w:t>
      </w:r>
      <w:r w:rsidR="00E33668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emitidos pelo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GAFI no início de 2020 sobre os desafios e respostas políticas para o combate 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 LD/FT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que surg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iram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durante a pandemia, os países membros do Mercosul detectaram o aprofundamento do uso de fraudes, crimes cibernéticos e golpes financeiros por meio de canais digitais.</w:t>
      </w:r>
    </w:p>
    <w:p w14:paraId="29E35374" w14:textId="77777777" w:rsidR="003F27F8" w:rsidRPr="004A5E96" w:rsidRDefault="003F27F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0EBF2BF2" w14:textId="4429132E" w:rsidR="002464CB" w:rsidRPr="004A5E96" w:rsidRDefault="00E3366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 título de ilustração, t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anto na Argentina quanto no Paraguai foram detectadas vulnerabilidades em certos tipos de crimes observados durante esta pandemia. Em particular, aqueles relacionados à aquisição pública de medicamentos típicos da conjuntura da pandemia com casos de superfaturamento.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No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Paraguai,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inclusive,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alguns desses casos culminaram em investigações do Ministério Público envolvendo empresas privadas.</w:t>
      </w:r>
    </w:p>
    <w:p w14:paraId="12DBF517" w14:textId="77777777" w:rsidR="003F27F8" w:rsidRPr="004A5E96" w:rsidRDefault="003F27F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5705ABBE" w14:textId="64D157FF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Uruguai, com base na análise realizada sobre as denúncias recebidas, não foi detectado um aumento em certos tipos de crimes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antecedentes à LD em função da pandemia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.</w:t>
      </w:r>
    </w:p>
    <w:p w14:paraId="518A1D28" w14:textId="77777777" w:rsidR="003F27F8" w:rsidRPr="004A5E96" w:rsidRDefault="003F27F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0F9A8725" w14:textId="6FD4937D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Na Argentina, embora delitos complexos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já existi</w:t>
      </w:r>
      <w:r w:rsidR="0050302F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ssem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previamente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à pandemia, no contexto da crise sanitária algumas manobras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de contrabando e evasão, especialmente relacionadas a produtos alimentícios como grãos, farinha e óleo,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se aprofundaram no “corredor litoral” (ao longo dos rios Uruguai e Paraná)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.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T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ambém destaca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m-se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certas operações relacionadas a ativos virtuais e 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negociações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mercado de ações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com o objetivo de se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contornar os regulamentos de câmbio.</w:t>
      </w:r>
    </w:p>
    <w:p w14:paraId="724445E2" w14:textId="4039F586" w:rsidR="003F27F8" w:rsidRPr="004A5E96" w:rsidRDefault="003F27F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0A3896E0" w14:textId="4B7CE89D" w:rsidR="00CE1FF7" w:rsidRPr="004A5E96" w:rsidRDefault="003F27F8" w:rsidP="00CE1FF7">
      <w:pPr>
        <w:jc w:val="both"/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</w:pPr>
      <w:r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No Brasi</w:t>
      </w:r>
      <w:r w:rsidR="0074230E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,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 houve </w:t>
      </w:r>
      <w:r w:rsidR="00B82283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denúncias </w:t>
      </w:r>
      <w:r w:rsidR="009C0AA1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relacionadas 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a licit</w:t>
      </w:r>
      <w:r w:rsidR="00B82283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ações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 públicas de emerg</w:t>
      </w:r>
      <w:r w:rsidR="00B82283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ê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ncia</w:t>
      </w:r>
      <w:r w:rsidR="00B82283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9C0AA1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realizadas em função da pandemia de 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COVID </w:t>
      </w:r>
      <w:r w:rsidR="00D65E00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e 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fraudes </w:t>
      </w:r>
      <w:r w:rsidR="00D65E00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relacionadas </w:t>
      </w:r>
      <w:r w:rsidR="009C0AA1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à</w:t>
      </w:r>
      <w:r w:rsidR="00D65E00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 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a</w:t>
      </w:r>
      <w:r w:rsidR="0072119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j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uda </w:t>
      </w:r>
      <w:r w:rsidR="0072119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financeira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 d</w:t>
      </w:r>
      <w:r w:rsidR="0072119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o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 g</w:t>
      </w:r>
      <w:r w:rsidR="0072119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>overno a pessoas e</w:t>
      </w:r>
      <w:r w:rsidR="00CE1FF7" w:rsidRPr="004A5E96"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  <w:t xml:space="preserve"> empresas.</w:t>
      </w:r>
    </w:p>
    <w:p w14:paraId="004F7171" w14:textId="77777777" w:rsidR="009C0AA1" w:rsidRPr="004A5E96" w:rsidRDefault="009C0AA1" w:rsidP="00CE1FF7">
      <w:pPr>
        <w:jc w:val="both"/>
        <w:rPr>
          <w:rStyle w:val="y2iqfc"/>
          <w:rFonts w:asciiTheme="minorHAnsi" w:eastAsia="Times New Roman" w:hAnsiTheme="minorHAnsi" w:cstheme="minorHAnsi"/>
          <w:sz w:val="22"/>
          <w:lang w:val="pt-PT" w:eastAsia="pt-BR"/>
        </w:rPr>
      </w:pPr>
    </w:p>
    <w:p w14:paraId="363F583B" w14:textId="68EAA00B" w:rsidR="002464CB" w:rsidRPr="004A5E96" w:rsidRDefault="009C0AA1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lang w:val="pt-PT"/>
        </w:rPr>
        <w:t xml:space="preserve">Dentre algumas consequências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positiv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s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verificou-se uma diminuição significativa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do trânsito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de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recursos por meio das fronteiras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, uma diminuição da utilização de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dinheiro em espécie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e um aumento das transferências</w:t>
      </w:r>
      <w:r w:rsidR="0064092A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e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da utilização de canais digitais (e- banking, mobile banking, ATM, entre outros). Por exemplo, no Uruguai, as operações de depósito em dinheiro foram reduzidas em 21% em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quantidade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e 32% em valor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na comparação do período entre 2020 e 2019. Se comparado com o mesmo período de 2021, verifica-se uma redução de 12% no número de operações e 25%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valor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das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mesmas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em relação a 2019, e aumento de 11%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número de operações e 10%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</w:t>
      </w:r>
      <w:r w:rsidR="002464CB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valor em relação ao mesmo período do ano de 2020.</w:t>
      </w:r>
    </w:p>
    <w:p w14:paraId="72D6FFEE" w14:textId="3D253589" w:rsidR="000B27DD" w:rsidRPr="004A5E96" w:rsidRDefault="000B27DD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5783AE25" w14:textId="0C0AA934" w:rsidR="000B27DD" w:rsidRPr="004A5E96" w:rsidRDefault="000B27DD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No Brasil, foi lançado em novembro de 2021 o Pix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uma solução de pagamento instantâneo, criada e gerida pelo Banco Central, que proporciona a realização de transferências e de pagamentos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em tempo real de forma digital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.</w:t>
      </w:r>
      <w:r w:rsidR="0050302F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O uso do Pix já supera a utilização de outros instrumentos de transferência de crédito (TED, DOC e boletos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)</w:t>
      </w:r>
      <w:r w:rsidR="0050302F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evidenciando a rápida adoção e efetividade do novo mecanismo.</w:t>
      </w:r>
    </w:p>
    <w:p w14:paraId="28EA86A5" w14:textId="77777777" w:rsidR="003F27F8" w:rsidRPr="004A5E96" w:rsidRDefault="003F27F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37289558" w14:textId="75CCA337" w:rsidR="002464CB" w:rsidRPr="004A5E96" w:rsidRDefault="002464CB" w:rsidP="005616A2">
      <w:pPr>
        <w:pStyle w:val="Pr-formataoHTML"/>
        <w:shd w:val="clear" w:color="auto" w:fill="F8F9FA"/>
        <w:jc w:val="both"/>
        <w:rPr>
          <w:rFonts w:asciiTheme="minorHAnsi" w:hAnsiTheme="minorHAnsi" w:cstheme="minorHAnsi"/>
          <w:sz w:val="22"/>
          <w:szCs w:val="22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lastRenderedPageBreak/>
        <w:t>Entre outros aspectos positivos, foi possível constatar a maior inclusão financeira de setores que, devido à crise econ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ô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mica e sanitária,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receberam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apoio concedido pelo Estado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com a utilização de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instrumentos bancár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ios</w:t>
      </w:r>
    </w:p>
    <w:p w14:paraId="73FEC536" w14:textId="63A28DB2" w:rsidR="002464CB" w:rsidRPr="004A5E96" w:rsidRDefault="002464CB" w:rsidP="00561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theme="minorHAnsi"/>
          <w:sz w:val="22"/>
          <w:lang w:eastAsia="pt-BR"/>
        </w:rPr>
      </w:pPr>
    </w:p>
    <w:p w14:paraId="731B2468" w14:textId="3873EDEF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b/>
          <w:bCs/>
          <w:sz w:val="22"/>
          <w:szCs w:val="22"/>
          <w:lang w:val="pt-PT"/>
        </w:rPr>
        <w:t>4. Relatórios de operação suspeita</w:t>
      </w:r>
    </w:p>
    <w:p w14:paraId="527BBD4B" w14:textId="77777777" w:rsidR="003F27F8" w:rsidRPr="004A5E96" w:rsidRDefault="003F27F8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7350A5DC" w14:textId="626AE652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Em relação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ao volume de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comunicaç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ões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de operações suspeitas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feitas </w:t>
      </w:r>
      <w:r w:rsidR="0074230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pelas instituições financeiras às unidades de inteligência financeiras dos países membro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observa-se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comportamentos diferentes na região.</w:t>
      </w:r>
    </w:p>
    <w:p w14:paraId="3F4F6F06" w14:textId="77777777" w:rsidR="00C176CE" w:rsidRPr="004A5E96" w:rsidRDefault="00C176CE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7B8C4FD1" w14:textId="668272BD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No Uruguai, houve uma diminuição n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o volume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de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comunicações de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operações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suspeitas da ordem de 6% no comparativo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entre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2020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e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2019. No entanto, para o ano de 2021, a tendência se reverte (com dados até setembro) com um aumento de 2% em relação a 2020. Em suma, o cumprimento da obrigação de reporte não foi gravemente afetad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a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.</w:t>
      </w:r>
    </w:p>
    <w:p w14:paraId="5087BC0F" w14:textId="77777777" w:rsidR="00C176CE" w:rsidRPr="004A5E96" w:rsidRDefault="00C176CE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50DF1251" w14:textId="7D0ADF9D" w:rsidR="002464CB" w:rsidRPr="004A5E96" w:rsidRDefault="002464CB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Na Argentina, no que diz respeito à detecção e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comunicação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de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operações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suspeitas, as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instituções financeiras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 sujeitos obrigados continuam a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utilizar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o sistema de notificação on-line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para a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UIF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,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sistema SRO, sem apresentar dificuldades para seu processamento e análise. Ao contrário do que aconteceu no Uruguai,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na Argentina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o volume de comunicações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quase dobr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ou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durante 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pandemia.</w:t>
      </w:r>
      <w:r w:rsidR="000F0FC9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Aumento semelhante de comunicações suspeitas também foi observado no Brasil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.</w:t>
      </w:r>
    </w:p>
    <w:p w14:paraId="38DA4510" w14:textId="77777777" w:rsidR="00C176CE" w:rsidRPr="004A5E96" w:rsidRDefault="00C176CE" w:rsidP="005616A2">
      <w:pPr>
        <w:pStyle w:val="Pr-formataoHTML"/>
        <w:shd w:val="clear" w:color="auto" w:fill="F8F9FA"/>
        <w:jc w:val="both"/>
        <w:rPr>
          <w:rStyle w:val="y2iqfc"/>
          <w:rFonts w:asciiTheme="minorHAnsi" w:hAnsiTheme="minorHAnsi" w:cstheme="minorHAnsi"/>
          <w:sz w:val="22"/>
          <w:szCs w:val="22"/>
          <w:lang w:val="pt-PT"/>
        </w:rPr>
      </w:pPr>
    </w:p>
    <w:p w14:paraId="6743B4AA" w14:textId="46E4786D" w:rsidR="00102527" w:rsidRPr="004A5E96" w:rsidRDefault="002464CB" w:rsidP="00E80BD5">
      <w:pPr>
        <w:pStyle w:val="Pr-formataoHTML"/>
        <w:shd w:val="clear" w:color="auto" w:fill="F8F9FA"/>
        <w:jc w:val="both"/>
        <w:rPr>
          <w:rFonts w:asciiTheme="minorHAnsi" w:hAnsiTheme="minorHAnsi" w:cstheme="minorHAnsi"/>
          <w:sz w:val="22"/>
        </w:rPr>
      </w:pP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No Paraguai, o número de notificações de operações suspeitas foi notavelmente reduzido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na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pandemia, embora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esse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efeito possa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</w:rPr>
        <w:t xml:space="preserve">não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</w:rPr>
        <w:t xml:space="preserve">ter relação </w:t>
      </w:r>
      <w:r w:rsidR="00894E41" w:rsidRPr="004A5E96">
        <w:rPr>
          <w:rStyle w:val="y2iqfc"/>
          <w:rFonts w:asciiTheme="minorHAnsi" w:hAnsiTheme="minorHAnsi" w:cstheme="minorHAnsi"/>
          <w:sz w:val="22"/>
          <w:szCs w:val="22"/>
        </w:rPr>
        <w:t xml:space="preserve">exclusiva </w:t>
      </w:r>
      <w:r w:rsidR="009C0AA1" w:rsidRPr="004A5E96">
        <w:rPr>
          <w:rStyle w:val="y2iqfc"/>
          <w:rFonts w:asciiTheme="minorHAnsi" w:hAnsiTheme="minorHAnsi" w:cstheme="minorHAnsi"/>
          <w:sz w:val="22"/>
          <w:szCs w:val="22"/>
        </w:rPr>
        <w:t xml:space="preserve">com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crise de saúde gerada pela Covid</w:t>
      </w:r>
      <w:r w:rsidR="00894E4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-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19, mas também </w:t>
      </w:r>
      <w:r w:rsidR="00894E4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com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a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entrada em vigor de nova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regulamentação emitida pela SEPRELAD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,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 que desencorajou fortemente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o </w:t>
      </w:r>
      <w:r w:rsidR="00894E41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envio de comunicações de 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caráter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defensiv</w:t>
      </w:r>
      <w:r w:rsidR="00C176CE"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 xml:space="preserve">o </w:t>
      </w:r>
      <w:r w:rsidRPr="004A5E96">
        <w:rPr>
          <w:rStyle w:val="y2iqfc"/>
          <w:rFonts w:asciiTheme="minorHAnsi" w:hAnsiTheme="minorHAnsi" w:cstheme="minorHAnsi"/>
          <w:sz w:val="22"/>
          <w:szCs w:val="22"/>
          <w:lang w:val="pt-PT"/>
        </w:rPr>
        <w:t>.</w:t>
      </w:r>
    </w:p>
    <w:sectPr w:rsidR="00102527" w:rsidRPr="004A5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73F2F"/>
    <w:multiLevelType w:val="multilevel"/>
    <w:tmpl w:val="41AA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CB"/>
    <w:rsid w:val="00013E0D"/>
    <w:rsid w:val="000B27DD"/>
    <w:rsid w:val="000F0FC9"/>
    <w:rsid w:val="00102527"/>
    <w:rsid w:val="002464CB"/>
    <w:rsid w:val="00363591"/>
    <w:rsid w:val="003F27F8"/>
    <w:rsid w:val="003F5DF8"/>
    <w:rsid w:val="004A5E96"/>
    <w:rsid w:val="0050302F"/>
    <w:rsid w:val="005616A2"/>
    <w:rsid w:val="0064092A"/>
    <w:rsid w:val="006535A6"/>
    <w:rsid w:val="00721197"/>
    <w:rsid w:val="0074230E"/>
    <w:rsid w:val="00894E41"/>
    <w:rsid w:val="008C50DA"/>
    <w:rsid w:val="009C0AA1"/>
    <w:rsid w:val="00A258BE"/>
    <w:rsid w:val="00A30B3B"/>
    <w:rsid w:val="00B244F7"/>
    <w:rsid w:val="00B82283"/>
    <w:rsid w:val="00C176CE"/>
    <w:rsid w:val="00C77C3D"/>
    <w:rsid w:val="00CE1FF7"/>
    <w:rsid w:val="00D65E00"/>
    <w:rsid w:val="00DC79BA"/>
    <w:rsid w:val="00DE517D"/>
    <w:rsid w:val="00E33668"/>
    <w:rsid w:val="00E80BD5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8D32"/>
  <w15:chartTrackingRefBased/>
  <w15:docId w15:val="{38EF0939-59A7-4705-B2A1-0833B04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464C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464C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464CB"/>
    <w:rPr>
      <w:rFonts w:eastAsia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464CB"/>
    <w:rPr>
      <w:rFonts w:eastAsia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464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464C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2464CB"/>
  </w:style>
  <w:style w:type="character" w:styleId="Hyperlink">
    <w:name w:val="Hyperlink"/>
    <w:basedOn w:val="Fontepargpadro"/>
    <w:uiPriority w:val="99"/>
    <w:semiHidden/>
    <w:unhideWhenUsed/>
    <w:rsid w:val="002464C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2464CB"/>
    <w:rPr>
      <w:i/>
      <w:iCs/>
    </w:rPr>
  </w:style>
  <w:style w:type="character" w:customStyle="1" w:styleId="dyjrff">
    <w:name w:val="dyjrff"/>
    <w:basedOn w:val="Fontepargpadro"/>
    <w:rsid w:val="002464CB"/>
  </w:style>
  <w:style w:type="paragraph" w:customStyle="1" w:styleId="action-menu-item">
    <w:name w:val="action-menu-item"/>
    <w:basedOn w:val="Normal"/>
    <w:rsid w:val="002464CB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336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36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36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36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366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E3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527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31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8149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831812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2647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29298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054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02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4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71D7159DCBEF4BB940D766EC204FD0" ma:contentTypeVersion="18" ma:contentTypeDescription="Crie um novo documento." ma:contentTypeScope="" ma:versionID="25a247e04e6152b5ce2528c2d9c75736">
  <xsd:schema xmlns:xsd="http://www.w3.org/2001/XMLSchema" xmlns:xs="http://www.w3.org/2001/XMLSchema" xmlns:p="http://schemas.microsoft.com/office/2006/metadata/properties" xmlns:ns1="http://schemas.microsoft.com/sharepoint/v3" xmlns:ns2="59fd1f5f-b86d-4ade-a4f9-0d916cac7502" xmlns:ns3="3c89d4e7-5ef7-4bed-93fb-6b1f3bc7b673" xmlns:ns4="fd3c1eac-8ce0-4354-b110-07c604f8f463" targetNamespace="http://schemas.microsoft.com/office/2006/metadata/properties" ma:root="true" ma:fieldsID="0edc73567a5d3ab71fc34486bcc4d530" ns1:_="" ns2:_="" ns3:_="" ns4:_="">
    <xsd:import namespace="http://schemas.microsoft.com/sharepoint/v3"/>
    <xsd:import namespace="59fd1f5f-b86d-4ade-a4f9-0d916cac7502"/>
    <xsd:import namespace="3c89d4e7-5ef7-4bed-93fb-6b1f3bc7b673"/>
    <xsd:import namespace="fd3c1eac-8ce0-4354-b110-07c604f8f46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ataPrimeiraPublicacao" minOccurs="0"/>
                <xsd:element ref="ns3:Comiss_x00e3_o" minOccurs="0"/>
                <xsd:element ref="ns1:PublishingExpirationDate" minOccurs="0"/>
                <xsd:element ref="ns3:Tipo1"/>
                <xsd:element ref="ns3:Ano"/>
                <xsd:element ref="ns3:Comission" minOccurs="0"/>
                <xsd:element ref="ns3:TipoEsp" minOccurs="0"/>
                <xsd:element ref="ns1:VariationsItemGroupID" minOccurs="0"/>
                <xsd:element ref="ns3:Pro_x0020_Tempore"/>
                <xsd:element ref="ns1:PublishingStartDate" minOccurs="0"/>
                <xsd:element ref="ns4:TaxKeywordTaxHTField" minOccurs="0"/>
                <xsd:element ref="ns2:HouvePrimeiraPublicaca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2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VariationsItemGroupID" ma:index="17" nillable="true" ma:displayName="ID do grupo de itens" ma:description="" ma:hidden="true" ma:internalName="VariationsItemGroupID">
      <xsd:simpleType>
        <xsd:restriction base="dms:Unknown"/>
      </xsd:simpleType>
    </xsd:element>
    <xsd:element name="PublishingStartDate" ma:index="2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1f5f-b86d-4ade-a4f9-0d916cac7502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Coluna Global de Taxonomia" ma:hidden="true" ma:list="{0d9170e4-aa33-41fb-b00b-716e59e430a0}" ma:internalName="TaxCatchAll" ma:showField="CatchAllData" ma:web="fd3c1eac-8ce0-4354-b110-07c604f8f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Coluna Global de Taxonomia1" ma:hidden="true" ma:list="{0d9170e4-aa33-41fb-b00b-716e59e430a0}" ma:internalName="TaxCatchAllLabel" ma:readOnly="true" ma:showField="CatchAllDataLabel" ma:web="fd3c1eac-8ce0-4354-b110-07c604f8f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PrimeiraPublicacao" ma:index="4" nillable="true" ma:displayName="Data da Primeira Publicação" ma:default="[today]" ma:format="DateTime" ma:internalName="DataPrimeiraPublicacao">
      <xsd:simpleType>
        <xsd:restriction base="dms:DateTime"/>
      </xsd:simpleType>
    </xsd:element>
    <xsd:element name="HouvePrimeiraPublicacao" ma:index="22" nillable="true" ma:displayName="HouvePrimeiraPublicacao" ma:decimals="0" ma:default="0" ma:hidden="true" ma:internalName="HouvePrimeiraPublicacao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d4e7-5ef7-4bed-93fb-6b1f3bc7b673" elementFormDefault="qualified">
    <xsd:import namespace="http://schemas.microsoft.com/office/2006/documentManagement/types"/>
    <xsd:import namespace="http://schemas.microsoft.com/office/infopath/2007/PartnerControls"/>
    <xsd:element name="Comiss_x00e3_o" ma:index="11" nillable="true" ma:displayName="Comissão" ma:format="Dropdown" ma:internalName="Comiss_x00e3_o">
      <xsd:simpleType>
        <xsd:restriction base="dms:Choice">
          <xsd:enumeration value="Coordenação Nacional"/>
          <xsd:enumeration value="Prevenção a Lavagem de Dinheiro e Financiamento ao Terrorismo"/>
          <xsd:enumeration value="Mercado de Valores Mobiliários"/>
          <xsd:enumeration value="Seguros"/>
          <xsd:enumeration value="Sistema Bancário"/>
          <xsd:enumeration value="Subcomissão de Demonstrações Contábeis"/>
        </xsd:restriction>
      </xsd:simpleType>
    </xsd:element>
    <xsd:element name="Tipo1" ma:index="13" ma:displayName="Documento" ma:format="Dropdown" ma:internalName="Tipo1">
      <xsd:simpleType>
        <xsd:restriction base="dms:Choice">
          <xsd:enumeration value="Atas e Anexos"/>
          <xsd:enumeration value="Programas de Trabalho"/>
          <xsd:enumeration value="Tratados/Protocolo/Acordo"/>
          <xsd:enumeration value="Decisão/Resolução"/>
          <xsd:enumeration value="Marco Regulatório"/>
          <xsd:enumeration value="Diretivas e Recomendações"/>
          <xsd:enumeration value="Quadro Comparativo"/>
          <xsd:enumeration value="Declarações"/>
          <xsd:enumeration value="Lista de Ofertas"/>
        </xsd:restriction>
      </xsd:simpleType>
    </xsd:element>
    <xsd:element name="Ano" ma:index="14" ma:displayName="Ano" ma:format="Dropdown" ma:internalName="Ano">
      <xsd:simpleType>
        <xsd:restriction base="dms:Choice"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Comission" ma:index="15" nillable="true" ma:displayName="Comission" ma:default="Coordinación Nacional" ma:format="Dropdown" ma:internalName="Comission">
      <xsd:simpleType>
        <xsd:restriction base="dms:Choice">
          <xsd:enumeration value="Coordinación Nacional"/>
          <xsd:enumeration value="Directivas y Recomendaciones"/>
          <xsd:enumeration value="Mercado de Valores"/>
          <xsd:enumeration value="Prevención del Lavado de Dinero"/>
          <xsd:enumeration value="Prevención del Lavado de Dinero y Financiamento del Terrrorismo"/>
          <xsd:enumeration value="Seguros"/>
          <xsd:enumeration value="Sistema Bancario"/>
          <xsd:enumeration value="Sistema Financiero"/>
          <xsd:enumeration value="Subcomisión de Estados Contables"/>
          <xsd:enumeration value="Subcomisión de Presentación de Estados Contables"/>
        </xsd:restriction>
      </xsd:simpleType>
    </xsd:element>
    <xsd:element name="TipoEsp" ma:index="16" nillable="true" ma:displayName="Archivo" ma:internalName="TipoEsp">
      <xsd:simpleType>
        <xsd:restriction base="dms:Text">
          <xsd:maxLength value="255"/>
        </xsd:restriction>
      </xsd:simpleType>
    </xsd:element>
    <xsd:element name="Pro_x0020_Tempore" ma:index="18" ma:displayName="Pro Tempore" ma:format="Dropdown" ma:internalName="Pro_x0020_Tempore">
      <xsd:simpleType>
        <xsd:restriction base="dms:Choice">
          <xsd:enumeration value="Argentina"/>
          <xsd:enumeration value="Brasil"/>
          <xsd:enumeration value="Paraguay"/>
          <xsd:enumeration value="Uruguay"/>
          <xsd:enumeration value="Venezuel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1eac-8ce0-4354-b110-07c604f8f4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Palavras-chave Corporativas" ma:fieldId="{23f27201-bee3-471e-b2e7-b64fd8b7ca38}" ma:taxonomyMulti="true" ma:sspId="c04560d3-a704-4f13-8370-2353aa785e1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04560d3-a704-4f13-8370-2353aa785e1d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uvePrimeiraPublicacao xmlns="59fd1f5f-b86d-4ade-a4f9-0d916cac7502">0</HouvePrimeiraPublicacao>
    <Ano xmlns="3c89d4e7-5ef7-4bed-93fb-6b1f3bc7b673">2021</Ano>
    <Comission xmlns="3c89d4e7-5ef7-4bed-93fb-6b1f3bc7b673">Prevención del Lavado de Dinero y Financiamento del Terrrorismo</Comission>
    <Tipo1 xmlns="3c89d4e7-5ef7-4bed-93fb-6b1f3bc7b673">Quadro Comparativo</Tipo1>
    <VariationsItemGroupID xmlns="http://schemas.microsoft.com/sharepoint/v3">98eb587b-1e62-4ba9-946d-eddffcfc8921</VariationsItemGroupID>
    <Comiss_x00e3_o xmlns="3c89d4e7-5ef7-4bed-93fb-6b1f3bc7b673">Prevenção a Lavagem de Dinheiro e Financiamento ao Terrorismo</Comiss_x00e3_o>
    <TaxKeywordTaxHTField xmlns="fd3c1eac-8ce0-4354-b110-07c604f8f463">
      <Terms xmlns="http://schemas.microsoft.com/office/infopath/2007/PartnerControls"/>
    </TaxKeywordTaxHTField>
    <DataPrimeiraPublicacao xmlns="59fd1f5f-b86d-4ade-a4f9-0d916cac7502">2021-10-26T21:21:00+00:00</DataPrimeiraPublicacao>
    <PublishingExpirationDate xmlns="http://schemas.microsoft.com/sharepoint/v3" xsi:nil="true"/>
    <PublishingStartDate xmlns="http://schemas.microsoft.com/sharepoint/v3" xsi:nil="true"/>
    <TipoEsp xmlns="3c89d4e7-5ef7-4bed-93fb-6b1f3bc7b673">Cuadro Comparativo</TipoEsp>
    <TaxCatchAll xmlns="59fd1f5f-b86d-4ade-a4f9-0d916cac7502"/>
    <Pro_x0020_Tempore xmlns="3c89d4e7-5ef7-4bed-93fb-6b1f3bc7b673">Brasil</Pro_x0020_Tempore>
  </documentManagement>
</p:properties>
</file>

<file path=customXml/itemProps1.xml><?xml version="1.0" encoding="utf-8"?>
<ds:datastoreItem xmlns:ds="http://schemas.openxmlformats.org/officeDocument/2006/customXml" ds:itemID="{2CE64AE3-2AB8-4FF4-A802-5AE78B5ED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9EDB5-2575-4863-AC7A-ACDB300CBF9B}"/>
</file>

<file path=customXml/itemProps3.xml><?xml version="1.0" encoding="utf-8"?>
<ds:datastoreItem xmlns:ds="http://schemas.openxmlformats.org/officeDocument/2006/customXml" ds:itemID="{0CC14410-F440-42E9-997C-BD320ED96A02}"/>
</file>

<file path=customXml/itemProps4.xml><?xml version="1.0" encoding="utf-8"?>
<ds:datastoreItem xmlns:ds="http://schemas.openxmlformats.org/officeDocument/2006/customXml" ds:itemID="{10BC221B-F3FC-4665-AB13-7E99ED3F8552}"/>
</file>

<file path=customXml/itemProps5.xml><?xml version="1.0" encoding="utf-8"?>
<ds:datastoreItem xmlns:ds="http://schemas.openxmlformats.org/officeDocument/2006/customXml" ds:itemID="{05447F0D-5169-4872-82D0-508082B4D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Brandao Faria Valdetaro</dc:creator>
  <cp:keywords/>
  <dc:description/>
  <cp:lastModifiedBy>Ursula Brandao Faria Valdetaro</cp:lastModifiedBy>
  <cp:revision>3</cp:revision>
  <dcterms:created xsi:type="dcterms:W3CDTF">2021-10-20T18:01:00Z</dcterms:created>
  <dcterms:modified xsi:type="dcterms:W3CDTF">2021-10-22T21:00:00Z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0x010100AC71D7159DCBEF4BB940D766EC204FD0</vt:lpwstr>
  </property>
  <property fmtid="{D5CDD505-2E9C-101B-9397-08002B2CF9AE}" pid="3" name="TaxKeyword">
    <vt:lpwstr/>
  </property>
</Properties>
</file>